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AF" w:rsidRDefault="00AB1BAF">
      <w:bookmarkStart w:id="0" w:name="_GoBack"/>
      <w:bookmarkEnd w:id="0"/>
    </w:p>
    <w:tbl>
      <w:tblPr>
        <w:tblStyle w:val="TabloKlavuzu"/>
        <w:tblpPr w:leftFromText="141" w:rightFromText="141" w:vertAnchor="text" w:horzAnchor="margin" w:tblpXSpec="center" w:tblpY="-54"/>
        <w:tblW w:w="15014" w:type="dxa"/>
        <w:tblLayout w:type="fixed"/>
        <w:tblLook w:val="04A0" w:firstRow="1" w:lastRow="0" w:firstColumn="1" w:lastColumn="0" w:noHBand="0" w:noVBand="1"/>
      </w:tblPr>
      <w:tblGrid>
        <w:gridCol w:w="1662"/>
        <w:gridCol w:w="1554"/>
        <w:gridCol w:w="6178"/>
        <w:gridCol w:w="531"/>
        <w:gridCol w:w="565"/>
        <w:gridCol w:w="565"/>
        <w:gridCol w:w="565"/>
        <w:gridCol w:w="567"/>
        <w:gridCol w:w="565"/>
        <w:gridCol w:w="565"/>
        <w:gridCol w:w="565"/>
        <w:gridCol w:w="565"/>
        <w:gridCol w:w="567"/>
      </w:tblGrid>
      <w:tr w:rsidR="00CC4E5A" w:rsidRPr="00E862EC" w:rsidTr="004C237D">
        <w:trPr>
          <w:trHeight w:val="516"/>
        </w:trPr>
        <w:tc>
          <w:tcPr>
            <w:tcW w:w="9394" w:type="dxa"/>
            <w:gridSpan w:val="3"/>
            <w:vAlign w:val="center"/>
          </w:tcPr>
          <w:p w:rsidR="00E862EC" w:rsidRPr="004C237D" w:rsidRDefault="00C26ECE" w:rsidP="00E862EC">
            <w:pPr>
              <w:jc w:val="center"/>
              <w:rPr>
                <w:b/>
                <w:bCs/>
                <w:sz w:val="20"/>
                <w:szCs w:val="20"/>
              </w:rPr>
            </w:pPr>
            <w:r w:rsidRPr="004C237D">
              <w:rPr>
                <w:b/>
                <w:bCs/>
                <w:sz w:val="20"/>
                <w:szCs w:val="20"/>
              </w:rPr>
              <w:t>11.</w:t>
            </w:r>
            <w:r w:rsidR="004C237D" w:rsidRPr="004C237D">
              <w:rPr>
                <w:b/>
                <w:bCs/>
                <w:sz w:val="20"/>
                <w:szCs w:val="20"/>
              </w:rPr>
              <w:t xml:space="preserve"> </w:t>
            </w:r>
            <w:r w:rsidRPr="004C237D">
              <w:rPr>
                <w:b/>
                <w:bCs/>
                <w:sz w:val="20"/>
                <w:szCs w:val="20"/>
              </w:rPr>
              <w:t>SINIFLAR</w:t>
            </w:r>
          </w:p>
        </w:tc>
        <w:tc>
          <w:tcPr>
            <w:tcW w:w="2793" w:type="dxa"/>
            <w:gridSpan w:val="5"/>
            <w:vAlign w:val="center"/>
          </w:tcPr>
          <w:p w:rsidR="00E862EC" w:rsidRPr="00E862EC" w:rsidRDefault="00E862EC" w:rsidP="00E862EC">
            <w:pPr>
              <w:jc w:val="center"/>
              <w:rPr>
                <w:b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Okul Genelinde Yapılacak 1. Ortak Sınav</w:t>
            </w:r>
          </w:p>
        </w:tc>
        <w:tc>
          <w:tcPr>
            <w:tcW w:w="2827" w:type="dxa"/>
            <w:gridSpan w:val="5"/>
            <w:vAlign w:val="center"/>
          </w:tcPr>
          <w:p w:rsidR="00E862EC" w:rsidRPr="00E862EC" w:rsidRDefault="00E862EC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Okul Genelinde Yapılacak 2. Ortak Sınav</w:t>
            </w:r>
          </w:p>
        </w:tc>
      </w:tr>
      <w:tr w:rsidR="002224D0" w:rsidRPr="00E862EC" w:rsidTr="004C237D">
        <w:trPr>
          <w:cantSplit/>
          <w:trHeight w:val="1025"/>
        </w:trPr>
        <w:tc>
          <w:tcPr>
            <w:tcW w:w="1662" w:type="dxa"/>
            <w:vAlign w:val="center"/>
          </w:tcPr>
          <w:p w:rsidR="00E862EC" w:rsidRPr="00E862EC" w:rsidRDefault="00E862EC" w:rsidP="002224D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62EC" w:rsidRPr="00E862EC" w:rsidRDefault="00E862EC" w:rsidP="002224D0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Ünite</w:t>
            </w:r>
          </w:p>
        </w:tc>
        <w:tc>
          <w:tcPr>
            <w:tcW w:w="1554" w:type="dxa"/>
            <w:vAlign w:val="center"/>
          </w:tcPr>
          <w:p w:rsidR="00E862EC" w:rsidRPr="00E862EC" w:rsidRDefault="00E862EC" w:rsidP="002224D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62EC" w:rsidRPr="00E862EC" w:rsidRDefault="00E862EC" w:rsidP="002224D0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 xml:space="preserve">Konu </w:t>
            </w:r>
          </w:p>
        </w:tc>
        <w:tc>
          <w:tcPr>
            <w:tcW w:w="6177" w:type="dxa"/>
            <w:vAlign w:val="center"/>
          </w:tcPr>
          <w:p w:rsidR="00E862EC" w:rsidRPr="00E862EC" w:rsidRDefault="00E862EC" w:rsidP="002224D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62EC" w:rsidRPr="00E862EC" w:rsidRDefault="00E862EC" w:rsidP="002224D0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Kazanım</w:t>
            </w:r>
            <w:r w:rsidR="00CC4E5A">
              <w:rPr>
                <w:b/>
                <w:bCs/>
                <w:sz w:val="16"/>
                <w:szCs w:val="16"/>
              </w:rPr>
              <w:t>lar</w:t>
            </w:r>
            <w:r w:rsidRPr="00E862EC">
              <w:rPr>
                <w:b/>
                <w:bCs/>
                <w:sz w:val="16"/>
                <w:szCs w:val="16"/>
              </w:rPr>
              <w:t xml:space="preserve"> </w:t>
            </w:r>
          </w:p>
          <w:p w:rsidR="00E862EC" w:rsidRPr="00E862EC" w:rsidRDefault="00E862EC" w:rsidP="002224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extDirection w:val="btLr"/>
          </w:tcPr>
          <w:p w:rsidR="00E862EC" w:rsidRPr="00E862EC" w:rsidRDefault="00E862EC" w:rsidP="00E862EC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1. Senaryo</w:t>
            </w:r>
          </w:p>
        </w:tc>
        <w:tc>
          <w:tcPr>
            <w:tcW w:w="565" w:type="dxa"/>
            <w:textDirection w:val="btLr"/>
          </w:tcPr>
          <w:p w:rsidR="00E862EC" w:rsidRPr="00E862EC" w:rsidRDefault="00E862EC" w:rsidP="00E862EC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 xml:space="preserve">2. Senaryo  </w:t>
            </w:r>
          </w:p>
        </w:tc>
        <w:tc>
          <w:tcPr>
            <w:tcW w:w="565" w:type="dxa"/>
            <w:textDirection w:val="btLr"/>
          </w:tcPr>
          <w:p w:rsidR="00E862EC" w:rsidRPr="00E862EC" w:rsidRDefault="00E862EC" w:rsidP="00E862EC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3. Senaryo</w:t>
            </w:r>
          </w:p>
        </w:tc>
        <w:tc>
          <w:tcPr>
            <w:tcW w:w="565" w:type="dxa"/>
            <w:textDirection w:val="btLr"/>
          </w:tcPr>
          <w:p w:rsidR="00E862EC" w:rsidRPr="00E862EC" w:rsidRDefault="00E862EC" w:rsidP="00E862EC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4. Senaryo</w:t>
            </w:r>
          </w:p>
        </w:tc>
        <w:tc>
          <w:tcPr>
            <w:tcW w:w="565" w:type="dxa"/>
            <w:textDirection w:val="btLr"/>
          </w:tcPr>
          <w:p w:rsidR="00E862EC" w:rsidRPr="00E862EC" w:rsidRDefault="00E862EC" w:rsidP="00E862EC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5. Senaryo</w:t>
            </w:r>
          </w:p>
        </w:tc>
        <w:tc>
          <w:tcPr>
            <w:tcW w:w="565" w:type="dxa"/>
            <w:textDirection w:val="btLr"/>
          </w:tcPr>
          <w:p w:rsidR="00E862EC" w:rsidRPr="00E862EC" w:rsidRDefault="00E862EC" w:rsidP="00E862EC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1. Senaryo</w:t>
            </w:r>
          </w:p>
        </w:tc>
        <w:tc>
          <w:tcPr>
            <w:tcW w:w="565" w:type="dxa"/>
            <w:textDirection w:val="btLr"/>
          </w:tcPr>
          <w:p w:rsidR="00E862EC" w:rsidRPr="00E862EC" w:rsidRDefault="00E862EC" w:rsidP="00E862EC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2. Senaryo</w:t>
            </w:r>
          </w:p>
        </w:tc>
        <w:tc>
          <w:tcPr>
            <w:tcW w:w="565" w:type="dxa"/>
            <w:textDirection w:val="btLr"/>
          </w:tcPr>
          <w:p w:rsidR="00E862EC" w:rsidRPr="00E862EC" w:rsidRDefault="00E862EC" w:rsidP="00E862EC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3. Senaryo</w:t>
            </w:r>
          </w:p>
        </w:tc>
        <w:tc>
          <w:tcPr>
            <w:tcW w:w="565" w:type="dxa"/>
            <w:textDirection w:val="btLr"/>
          </w:tcPr>
          <w:p w:rsidR="00E862EC" w:rsidRPr="00E862EC" w:rsidRDefault="00E862EC" w:rsidP="00E862EC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4. Senaryo</w:t>
            </w:r>
          </w:p>
        </w:tc>
        <w:tc>
          <w:tcPr>
            <w:tcW w:w="565" w:type="dxa"/>
            <w:textDirection w:val="btLr"/>
          </w:tcPr>
          <w:p w:rsidR="00E862EC" w:rsidRPr="00E862EC" w:rsidRDefault="00E862EC" w:rsidP="00E862EC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5. Senaryo</w:t>
            </w:r>
          </w:p>
        </w:tc>
      </w:tr>
      <w:tr w:rsidR="002224D0" w:rsidRPr="00E862EC" w:rsidTr="004C237D">
        <w:trPr>
          <w:trHeight w:val="212"/>
        </w:trPr>
        <w:tc>
          <w:tcPr>
            <w:tcW w:w="1662" w:type="dxa"/>
          </w:tcPr>
          <w:p w:rsidR="00CC4E5A" w:rsidRPr="004C237D" w:rsidRDefault="002224D0" w:rsidP="00807691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CC4E5A" w:rsidRPr="004C237D" w:rsidRDefault="00CC4E5A" w:rsidP="00807691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Sindirim Sistemi</w:t>
            </w:r>
          </w:p>
        </w:tc>
        <w:tc>
          <w:tcPr>
            <w:tcW w:w="6177" w:type="dxa"/>
          </w:tcPr>
          <w:p w:rsidR="00CC4E5A" w:rsidRPr="004C237D" w:rsidRDefault="00CC4E5A" w:rsidP="00C26ECE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11.1.3.1. Sindirim sisteminin yapı, görev ve işleyişini açıklar.</w:t>
            </w:r>
          </w:p>
          <w:p w:rsidR="00807691" w:rsidRPr="004C237D" w:rsidRDefault="00807691" w:rsidP="00C26ECE">
            <w:pPr>
              <w:rPr>
                <w:sz w:val="17"/>
                <w:szCs w:val="17"/>
              </w:rPr>
            </w:pPr>
          </w:p>
        </w:tc>
        <w:tc>
          <w:tcPr>
            <w:tcW w:w="531" w:type="dxa"/>
            <w:vAlign w:val="center"/>
          </w:tcPr>
          <w:p w:rsidR="00CC4E5A" w:rsidRPr="00E862EC" w:rsidRDefault="00CC4E5A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vAlign w:val="center"/>
          </w:tcPr>
          <w:p w:rsidR="00CC4E5A" w:rsidRPr="00E862EC" w:rsidRDefault="00CC4E5A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CC4E5A" w:rsidRPr="00E862EC" w:rsidRDefault="00CC4E5A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CC4E5A" w:rsidRPr="00E862EC" w:rsidRDefault="00CC4E5A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CC4E5A" w:rsidRPr="00E862EC" w:rsidRDefault="00CC4E5A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CC4E5A" w:rsidRPr="00E862EC" w:rsidRDefault="00CC4E5A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CC4E5A" w:rsidRPr="00E862EC" w:rsidRDefault="00CC4E5A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CC4E5A" w:rsidRPr="00E862EC" w:rsidRDefault="00CC4E5A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CC4E5A" w:rsidRPr="00E862EC" w:rsidRDefault="00CC4E5A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CC4E5A" w:rsidRPr="00E862EC" w:rsidRDefault="00CC4E5A" w:rsidP="00E862EC">
            <w:pPr>
              <w:jc w:val="center"/>
              <w:rPr>
                <w:sz w:val="16"/>
                <w:szCs w:val="16"/>
              </w:rPr>
            </w:pPr>
          </w:p>
        </w:tc>
      </w:tr>
      <w:tr w:rsidR="002224D0" w:rsidRPr="00E862EC" w:rsidTr="004C237D">
        <w:trPr>
          <w:trHeight w:val="485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Sindirim Sistemi</w:t>
            </w:r>
          </w:p>
        </w:tc>
        <w:tc>
          <w:tcPr>
            <w:tcW w:w="6177" w:type="dxa"/>
          </w:tcPr>
          <w:p w:rsidR="002224D0" w:rsidRPr="004C237D" w:rsidRDefault="002224D0" w:rsidP="002224D0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11.1.3.3. Sindirim sisteminin sağlıklı yapısının korunması için yapılması gerekenlere ilişkin çıkarımlarda bulunur. </w:t>
            </w:r>
          </w:p>
        </w:tc>
        <w:tc>
          <w:tcPr>
            <w:tcW w:w="531" w:type="dxa"/>
            <w:vAlign w:val="center"/>
          </w:tcPr>
          <w:p w:rsidR="002224D0" w:rsidRDefault="002224D0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Default="002224D0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</w:tr>
      <w:tr w:rsidR="002224D0" w:rsidRPr="00E862EC" w:rsidTr="004C237D">
        <w:trPr>
          <w:trHeight w:val="237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Dolaşım Sistemi</w:t>
            </w:r>
          </w:p>
        </w:tc>
        <w:tc>
          <w:tcPr>
            <w:tcW w:w="6177" w:type="dxa"/>
          </w:tcPr>
          <w:p w:rsidR="002224D0" w:rsidRPr="004C237D" w:rsidRDefault="002224D0" w:rsidP="00C26ECE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11.1.4.1. Kalp, kan ve damarların yapı, görev ve işleyişini açıklar.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</w:tr>
      <w:tr w:rsidR="002224D0" w:rsidRPr="00E862EC" w:rsidTr="004C237D">
        <w:trPr>
          <w:trHeight w:val="360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Dolaşım Sistemi</w:t>
            </w:r>
          </w:p>
        </w:tc>
        <w:tc>
          <w:tcPr>
            <w:tcW w:w="6177" w:type="dxa"/>
          </w:tcPr>
          <w:p w:rsidR="002224D0" w:rsidRPr="004C237D" w:rsidRDefault="002224D0" w:rsidP="00C26ECE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11.1.4.2. Lenf dolaşımını açıklar. </w:t>
            </w:r>
            <w:proofErr w:type="gramStart"/>
            <w:r w:rsidRPr="004C237D">
              <w:rPr>
                <w:sz w:val="17"/>
                <w:szCs w:val="17"/>
              </w:rPr>
              <w:t>b</w:t>
            </w:r>
            <w:proofErr w:type="gramEnd"/>
            <w:r w:rsidRPr="004C237D">
              <w:rPr>
                <w:sz w:val="17"/>
                <w:szCs w:val="17"/>
              </w:rPr>
              <w:t>. Lenf dolaşımı kan dolaşımı ile ilişkilendirilerek ele alınır.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</w:tr>
      <w:tr w:rsidR="002224D0" w:rsidRPr="00E862EC" w:rsidTr="004C237D">
        <w:trPr>
          <w:trHeight w:val="501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Dolaşım Sistemi</w:t>
            </w:r>
          </w:p>
        </w:tc>
        <w:tc>
          <w:tcPr>
            <w:tcW w:w="6177" w:type="dxa"/>
          </w:tcPr>
          <w:p w:rsidR="002224D0" w:rsidRPr="004C237D" w:rsidRDefault="002224D0" w:rsidP="00C26ECE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11.1.4.3. Dolaşım sistemi rahatsızlıklarını açıklar.  11.1.4.4. Dolaşım sisteminin sağlıklı yapısının korunması için yapılması gerekenlere ilişkin çıkarımlarda bulunur."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4F34FC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</w:tr>
      <w:tr w:rsidR="002224D0" w:rsidRPr="00E862EC" w:rsidTr="004C237D">
        <w:trPr>
          <w:trHeight w:val="273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Dolaşım Sistemi</w:t>
            </w:r>
          </w:p>
        </w:tc>
        <w:tc>
          <w:tcPr>
            <w:tcW w:w="6177" w:type="dxa"/>
          </w:tcPr>
          <w:p w:rsidR="002224D0" w:rsidRPr="004C237D" w:rsidRDefault="002224D0" w:rsidP="00C26ECE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11.1.4.5.Bağışıklık çeşitlerini ve vücudun doğal savunma mekanizmalarını açıklar.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</w:tr>
      <w:tr w:rsidR="002224D0" w:rsidRPr="00E862EC" w:rsidTr="004C237D">
        <w:trPr>
          <w:trHeight w:val="281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Solunum Sistemi</w:t>
            </w:r>
          </w:p>
        </w:tc>
        <w:tc>
          <w:tcPr>
            <w:tcW w:w="6177" w:type="dxa"/>
          </w:tcPr>
          <w:p w:rsidR="002224D0" w:rsidRPr="004C237D" w:rsidRDefault="002224D0" w:rsidP="00C26ECE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11.1.5.1.Solunum sisteminin yapı, görev ve işleyişini açıklar.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</w:tr>
      <w:tr w:rsidR="002224D0" w:rsidRPr="00E862EC" w:rsidTr="004C237D">
        <w:trPr>
          <w:trHeight w:val="168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Solunum Sistemi</w:t>
            </w:r>
          </w:p>
        </w:tc>
        <w:tc>
          <w:tcPr>
            <w:tcW w:w="6177" w:type="dxa"/>
          </w:tcPr>
          <w:p w:rsidR="002224D0" w:rsidRPr="004C237D" w:rsidRDefault="002224D0" w:rsidP="00C26ECE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11.1.5.2. Alveollerden dokulara ve dokulardan alveollere gaz taşınmasını açıklar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</w:tr>
      <w:tr w:rsidR="002224D0" w:rsidRPr="00E862EC" w:rsidTr="004C237D">
        <w:trPr>
          <w:trHeight w:val="317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Solunum Sistemi</w:t>
            </w:r>
          </w:p>
        </w:tc>
        <w:tc>
          <w:tcPr>
            <w:tcW w:w="6177" w:type="dxa"/>
          </w:tcPr>
          <w:p w:rsidR="002224D0" w:rsidRPr="004C237D" w:rsidRDefault="002224D0" w:rsidP="00C26ECE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11.1.5.3. Solunum sistemi hastalıklarına örnekler verir.  11.1.5.4. Solunum sisteminin sağlıklı yapısının korunması için yapılması gerekenlere ilişkin çıkarımlarda bulunur."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4F34FC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</w:tr>
      <w:tr w:rsidR="002224D0" w:rsidRPr="00E862EC" w:rsidTr="004C237D">
        <w:trPr>
          <w:trHeight w:val="317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Üriner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4C237D">
              <w:rPr>
                <w:b/>
                <w:sz w:val="17"/>
                <w:szCs w:val="17"/>
              </w:rPr>
              <w:t>Sİstem</w:t>
            </w:r>
            <w:proofErr w:type="spellEnd"/>
          </w:p>
        </w:tc>
        <w:tc>
          <w:tcPr>
            <w:tcW w:w="6177" w:type="dxa"/>
          </w:tcPr>
          <w:p w:rsidR="002224D0" w:rsidRPr="004C237D" w:rsidRDefault="002224D0" w:rsidP="00C26ECE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11.1.6.1. </w:t>
            </w:r>
            <w:proofErr w:type="spellStart"/>
            <w:r w:rsidRPr="004C237D">
              <w:rPr>
                <w:sz w:val="17"/>
                <w:szCs w:val="17"/>
              </w:rPr>
              <w:t>Üriner</w:t>
            </w:r>
            <w:proofErr w:type="spellEnd"/>
            <w:r w:rsidRPr="004C237D">
              <w:rPr>
                <w:sz w:val="17"/>
                <w:szCs w:val="17"/>
              </w:rPr>
              <w:t xml:space="preserve"> sistemin yapı, görev ve işleyişini açıklar.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4F34FC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2</w:t>
            </w:r>
          </w:p>
        </w:tc>
      </w:tr>
      <w:tr w:rsidR="002224D0" w:rsidRPr="00E862EC" w:rsidTr="004C237D">
        <w:trPr>
          <w:trHeight w:val="317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Üriner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4C237D">
              <w:rPr>
                <w:b/>
                <w:sz w:val="17"/>
                <w:szCs w:val="17"/>
              </w:rPr>
              <w:t>Sİstem</w:t>
            </w:r>
            <w:proofErr w:type="spellEnd"/>
          </w:p>
        </w:tc>
        <w:tc>
          <w:tcPr>
            <w:tcW w:w="6177" w:type="dxa"/>
          </w:tcPr>
          <w:p w:rsidR="002224D0" w:rsidRPr="004C237D" w:rsidRDefault="002224D0" w:rsidP="00C26ECE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11.1.6.2. </w:t>
            </w:r>
            <w:proofErr w:type="spellStart"/>
            <w:r w:rsidRPr="004C237D">
              <w:rPr>
                <w:sz w:val="17"/>
                <w:szCs w:val="17"/>
              </w:rPr>
              <w:t>Homeostasinin</w:t>
            </w:r>
            <w:proofErr w:type="spellEnd"/>
            <w:r w:rsidRPr="004C237D">
              <w:rPr>
                <w:sz w:val="17"/>
                <w:szCs w:val="17"/>
              </w:rPr>
              <w:t xml:space="preserve"> sağlanmasında böbreklerin rolünü belirtir.                    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</w:tr>
      <w:tr w:rsidR="002224D0" w:rsidRPr="00E862EC" w:rsidTr="004C237D">
        <w:trPr>
          <w:trHeight w:val="317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Üriner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4C237D">
              <w:rPr>
                <w:b/>
                <w:sz w:val="17"/>
                <w:szCs w:val="17"/>
              </w:rPr>
              <w:t>Sİstem</w:t>
            </w:r>
            <w:proofErr w:type="spellEnd"/>
          </w:p>
        </w:tc>
        <w:tc>
          <w:tcPr>
            <w:tcW w:w="6177" w:type="dxa"/>
          </w:tcPr>
          <w:p w:rsidR="002224D0" w:rsidRPr="004C237D" w:rsidRDefault="002224D0" w:rsidP="00C26ECE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11.1.6.3. </w:t>
            </w:r>
            <w:proofErr w:type="spellStart"/>
            <w:r w:rsidRPr="004C237D">
              <w:rPr>
                <w:sz w:val="17"/>
                <w:szCs w:val="17"/>
              </w:rPr>
              <w:t>Üriner</w:t>
            </w:r>
            <w:proofErr w:type="spellEnd"/>
            <w:r w:rsidRPr="004C237D">
              <w:rPr>
                <w:sz w:val="17"/>
                <w:szCs w:val="17"/>
              </w:rPr>
              <w:t xml:space="preserve"> Sistem rahatsızlıklarına örnekler verir. 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</w:tr>
      <w:tr w:rsidR="002224D0" w:rsidRPr="00E862EC" w:rsidTr="004C237D">
        <w:trPr>
          <w:trHeight w:val="317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Üriner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4C237D">
              <w:rPr>
                <w:b/>
                <w:sz w:val="17"/>
                <w:szCs w:val="17"/>
              </w:rPr>
              <w:t>Sİstem</w:t>
            </w:r>
            <w:proofErr w:type="spellEnd"/>
          </w:p>
        </w:tc>
        <w:tc>
          <w:tcPr>
            <w:tcW w:w="6177" w:type="dxa"/>
          </w:tcPr>
          <w:p w:rsidR="002224D0" w:rsidRPr="004C237D" w:rsidRDefault="002224D0" w:rsidP="00C26ECE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 11.1.6.4. </w:t>
            </w:r>
            <w:proofErr w:type="spellStart"/>
            <w:r w:rsidRPr="004C237D">
              <w:rPr>
                <w:sz w:val="17"/>
                <w:szCs w:val="17"/>
              </w:rPr>
              <w:t>Üriner</w:t>
            </w:r>
            <w:proofErr w:type="spellEnd"/>
            <w:r w:rsidRPr="004C237D">
              <w:rPr>
                <w:sz w:val="17"/>
                <w:szCs w:val="17"/>
              </w:rPr>
              <w:t xml:space="preserve"> sistemin sağlıklı yapısının korunması için yapılması gerekenlere ilişkin çıkarımlarda bulunur."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</w:tr>
      <w:tr w:rsidR="002224D0" w:rsidRPr="00E862EC" w:rsidTr="004C237D">
        <w:trPr>
          <w:trHeight w:val="317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Üreme Sistemi</w:t>
            </w:r>
          </w:p>
        </w:tc>
        <w:tc>
          <w:tcPr>
            <w:tcW w:w="6177" w:type="dxa"/>
          </w:tcPr>
          <w:p w:rsidR="002224D0" w:rsidRPr="004C237D" w:rsidRDefault="002224D0" w:rsidP="00C26ECE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11.1.7.1. Üreme sisteminin yapı, görev ve işleyişini açıklar.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</w:tr>
      <w:tr w:rsidR="002224D0" w:rsidRPr="00E862EC" w:rsidTr="004C237D">
        <w:trPr>
          <w:trHeight w:val="317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Üreme Sistemi</w:t>
            </w:r>
          </w:p>
        </w:tc>
        <w:tc>
          <w:tcPr>
            <w:tcW w:w="6177" w:type="dxa"/>
          </w:tcPr>
          <w:p w:rsidR="002224D0" w:rsidRPr="004C237D" w:rsidRDefault="002224D0" w:rsidP="00C26ECE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11.1.7.2. Üreme sisteminin sağlıklı yapısının korunması için yapılması gerekenlere ilişkin çıkarımlarda bulunur.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</w:tr>
      <w:tr w:rsidR="002224D0" w:rsidRPr="00E862EC" w:rsidTr="004C237D">
        <w:trPr>
          <w:trHeight w:val="317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Üreme Sistemi</w:t>
            </w:r>
          </w:p>
        </w:tc>
        <w:tc>
          <w:tcPr>
            <w:tcW w:w="6177" w:type="dxa"/>
          </w:tcPr>
          <w:p w:rsidR="002224D0" w:rsidRPr="004C237D" w:rsidRDefault="002224D0" w:rsidP="00C26ECE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11.1.7.3. İnsanda </w:t>
            </w:r>
            <w:proofErr w:type="spellStart"/>
            <w:r w:rsidRPr="004C237D">
              <w:rPr>
                <w:sz w:val="17"/>
                <w:szCs w:val="17"/>
              </w:rPr>
              <w:t>embriyonik</w:t>
            </w:r>
            <w:proofErr w:type="spellEnd"/>
            <w:r w:rsidRPr="004C237D">
              <w:rPr>
                <w:sz w:val="17"/>
                <w:szCs w:val="17"/>
              </w:rPr>
              <w:t xml:space="preserve"> gelişim sürecini açıklar.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</w:tr>
      <w:tr w:rsidR="002224D0" w:rsidRPr="00E862EC" w:rsidTr="004C237D">
        <w:trPr>
          <w:trHeight w:val="317"/>
        </w:trPr>
        <w:tc>
          <w:tcPr>
            <w:tcW w:w="1662" w:type="dxa"/>
          </w:tcPr>
          <w:p w:rsidR="002224D0" w:rsidRPr="004C237D" w:rsidRDefault="00807691" w:rsidP="00807691">
            <w:pPr>
              <w:jc w:val="center"/>
              <w:rPr>
                <w:sz w:val="17"/>
                <w:szCs w:val="17"/>
              </w:rPr>
            </w:pPr>
            <w:proofErr w:type="spellStart"/>
            <w:r w:rsidRPr="004C237D">
              <w:rPr>
                <w:sz w:val="17"/>
                <w:szCs w:val="17"/>
              </w:rPr>
              <w:t>Komünite</w:t>
            </w:r>
            <w:proofErr w:type="spellEnd"/>
            <w:r w:rsidRPr="004C237D">
              <w:rPr>
                <w:sz w:val="17"/>
                <w:szCs w:val="17"/>
              </w:rPr>
              <w:t xml:space="preserve"> ve </w:t>
            </w:r>
            <w:r w:rsidR="002224D0" w:rsidRPr="004C237D">
              <w:rPr>
                <w:sz w:val="17"/>
                <w:szCs w:val="17"/>
              </w:rPr>
              <w:t>Popülasyon Ekolojisi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Komünite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Ekolojisi</w:t>
            </w:r>
          </w:p>
        </w:tc>
        <w:tc>
          <w:tcPr>
            <w:tcW w:w="6177" w:type="dxa"/>
          </w:tcPr>
          <w:p w:rsidR="002224D0" w:rsidRPr="004C237D" w:rsidRDefault="002224D0" w:rsidP="00C26ECE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11.2.1.1. </w:t>
            </w:r>
            <w:proofErr w:type="spellStart"/>
            <w:r w:rsidRPr="004C237D">
              <w:rPr>
                <w:sz w:val="17"/>
                <w:szCs w:val="17"/>
              </w:rPr>
              <w:t>Komünitenin</w:t>
            </w:r>
            <w:proofErr w:type="spellEnd"/>
            <w:r w:rsidRPr="004C237D">
              <w:rPr>
                <w:sz w:val="17"/>
                <w:szCs w:val="17"/>
              </w:rPr>
              <w:t xml:space="preserve"> yapısına etki eden faktörleri açıklar.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</w:tr>
      <w:tr w:rsidR="002224D0" w:rsidRPr="00E862EC" w:rsidTr="004C237D">
        <w:trPr>
          <w:trHeight w:val="317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proofErr w:type="spellStart"/>
            <w:r w:rsidRPr="004C237D">
              <w:rPr>
                <w:sz w:val="17"/>
                <w:szCs w:val="17"/>
              </w:rPr>
              <w:t>Komünite</w:t>
            </w:r>
            <w:proofErr w:type="spellEnd"/>
            <w:r w:rsidRPr="004C237D">
              <w:rPr>
                <w:sz w:val="17"/>
                <w:szCs w:val="17"/>
              </w:rPr>
              <w:t xml:space="preserve"> ve Popülasyon Ekolojisi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Komünite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Ekolojisi</w:t>
            </w:r>
          </w:p>
        </w:tc>
        <w:tc>
          <w:tcPr>
            <w:tcW w:w="6177" w:type="dxa"/>
            <w:vAlign w:val="center"/>
          </w:tcPr>
          <w:p w:rsidR="002224D0" w:rsidRPr="004C237D" w:rsidRDefault="002224D0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11.2.1.2. </w:t>
            </w:r>
            <w:proofErr w:type="spellStart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>Komünitede</w:t>
            </w:r>
            <w:proofErr w:type="spellEnd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tür içi ve türler arasındaki rekabeti örneklerle açıklar.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2</w:t>
            </w:r>
          </w:p>
        </w:tc>
      </w:tr>
      <w:tr w:rsidR="002224D0" w:rsidRPr="00E862EC" w:rsidTr="004C237D">
        <w:trPr>
          <w:trHeight w:val="317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proofErr w:type="spellStart"/>
            <w:r w:rsidRPr="004C237D">
              <w:rPr>
                <w:sz w:val="17"/>
                <w:szCs w:val="17"/>
              </w:rPr>
              <w:t>Komünite</w:t>
            </w:r>
            <w:proofErr w:type="spellEnd"/>
            <w:r w:rsidRPr="004C237D">
              <w:rPr>
                <w:sz w:val="17"/>
                <w:szCs w:val="17"/>
              </w:rPr>
              <w:t xml:space="preserve"> ve Popülasyon Ekolojisi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Komünite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Ekolojisi</w:t>
            </w:r>
          </w:p>
        </w:tc>
        <w:tc>
          <w:tcPr>
            <w:tcW w:w="6177" w:type="dxa"/>
            <w:vAlign w:val="center"/>
          </w:tcPr>
          <w:p w:rsidR="002224D0" w:rsidRPr="004C237D" w:rsidRDefault="002224D0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11.2.1.4. </w:t>
            </w:r>
            <w:proofErr w:type="spellStart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>Komünitelerdeki</w:t>
            </w:r>
            <w:proofErr w:type="spellEnd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>süksesyonu</w:t>
            </w:r>
            <w:proofErr w:type="spellEnd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örneklerle açıklar.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3F6ADD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224D0" w:rsidRPr="00E862EC" w:rsidTr="004C237D">
        <w:trPr>
          <w:trHeight w:val="317"/>
        </w:trPr>
        <w:tc>
          <w:tcPr>
            <w:tcW w:w="1662" w:type="dxa"/>
          </w:tcPr>
          <w:p w:rsidR="002224D0" w:rsidRPr="004C237D" w:rsidRDefault="002224D0" w:rsidP="00807691">
            <w:pPr>
              <w:jc w:val="center"/>
              <w:rPr>
                <w:sz w:val="17"/>
                <w:szCs w:val="17"/>
              </w:rPr>
            </w:pPr>
            <w:proofErr w:type="spellStart"/>
            <w:r w:rsidRPr="004C237D">
              <w:rPr>
                <w:sz w:val="17"/>
                <w:szCs w:val="17"/>
              </w:rPr>
              <w:t>Komünite</w:t>
            </w:r>
            <w:proofErr w:type="spellEnd"/>
            <w:r w:rsidRPr="004C237D">
              <w:rPr>
                <w:sz w:val="17"/>
                <w:szCs w:val="17"/>
              </w:rPr>
              <w:t xml:space="preserve"> ve Popülasyon Ekolojisi</w:t>
            </w:r>
          </w:p>
        </w:tc>
        <w:tc>
          <w:tcPr>
            <w:tcW w:w="1554" w:type="dxa"/>
          </w:tcPr>
          <w:p w:rsidR="002224D0" w:rsidRPr="004C237D" w:rsidRDefault="002224D0" w:rsidP="00807691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Popülasyon Ekolojisi</w:t>
            </w:r>
          </w:p>
        </w:tc>
        <w:tc>
          <w:tcPr>
            <w:tcW w:w="6177" w:type="dxa"/>
            <w:vAlign w:val="center"/>
          </w:tcPr>
          <w:p w:rsidR="002224D0" w:rsidRPr="004C237D" w:rsidRDefault="002224D0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>11.2.2.1. Popülasyon dinamiğine etki eden faktörleri analiz eder.</w:t>
            </w:r>
          </w:p>
        </w:tc>
        <w:tc>
          <w:tcPr>
            <w:tcW w:w="531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3F6ADD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2224D0" w:rsidRPr="00E862EC" w:rsidRDefault="002224D0" w:rsidP="00E862EC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</w:tr>
    </w:tbl>
    <w:p w:rsidR="00EA79E2" w:rsidRDefault="00EA79E2" w:rsidP="00021F4E"/>
    <w:sectPr w:rsidR="00EA79E2" w:rsidSect="00021F4E">
      <w:headerReference w:type="default" r:id="rId6"/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3CB" w:rsidRDefault="007E43CB" w:rsidP="00D65365">
      <w:pPr>
        <w:spacing w:after="0" w:line="240" w:lineRule="auto"/>
      </w:pPr>
      <w:r>
        <w:separator/>
      </w:r>
    </w:p>
  </w:endnote>
  <w:endnote w:type="continuationSeparator" w:id="0">
    <w:p w:rsidR="007E43CB" w:rsidRDefault="007E43CB" w:rsidP="00D6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3CB" w:rsidRDefault="007E43CB" w:rsidP="00D65365">
      <w:pPr>
        <w:spacing w:after="0" w:line="240" w:lineRule="auto"/>
      </w:pPr>
      <w:r>
        <w:separator/>
      </w:r>
    </w:p>
  </w:footnote>
  <w:footnote w:type="continuationSeparator" w:id="0">
    <w:p w:rsidR="007E43CB" w:rsidRDefault="007E43CB" w:rsidP="00D65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9D" w:rsidRPr="00D65365" w:rsidRDefault="0068469D" w:rsidP="00D65365">
    <w:pPr>
      <w:pStyle w:val="stbilgi"/>
      <w:ind w:firstLine="708"/>
      <w:jc w:val="center"/>
      <w:rPr>
        <w:b/>
      </w:rPr>
    </w:pPr>
    <w:r w:rsidRPr="00D65365">
      <w:rPr>
        <w:b/>
      </w:rPr>
      <w:t>2024-</w:t>
    </w:r>
    <w:proofErr w:type="gramStart"/>
    <w:r w:rsidRPr="00D65365">
      <w:rPr>
        <w:b/>
      </w:rPr>
      <w:t>2025  EĞİTİM</w:t>
    </w:r>
    <w:proofErr w:type="gramEnd"/>
    <w:r w:rsidRPr="00D65365">
      <w:rPr>
        <w:b/>
      </w:rPr>
      <w:t xml:space="preserve"> ÖĞRETİM YILI BİYOLOJİ DERSİ</w:t>
    </w:r>
    <w:r w:rsidR="004C237D">
      <w:rPr>
        <w:b/>
      </w:rPr>
      <w:t xml:space="preserve"> BURSA</w:t>
    </w:r>
    <w:r>
      <w:rPr>
        <w:b/>
      </w:rPr>
      <w:t xml:space="preserve">  </w:t>
    </w:r>
    <w:r w:rsidRPr="00D65365">
      <w:rPr>
        <w:b/>
      </w:rPr>
      <w:t>İL</w:t>
    </w:r>
    <w:r>
      <w:rPr>
        <w:b/>
      </w:rPr>
      <w:t xml:space="preserve"> </w:t>
    </w:r>
    <w:r w:rsidRPr="00D65365">
      <w:rPr>
        <w:b/>
      </w:rPr>
      <w:t xml:space="preserve"> ZÜMRESİ  OKUL GENELİ ORTAK SINAV SORU DAĞILIMI</w:t>
    </w:r>
    <w:r>
      <w:rPr>
        <w:b/>
      </w:rPr>
      <w:t>DIR.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63"/>
    <w:rsid w:val="00021F4E"/>
    <w:rsid w:val="000D1207"/>
    <w:rsid w:val="00123FF6"/>
    <w:rsid w:val="001E13C8"/>
    <w:rsid w:val="002224D0"/>
    <w:rsid w:val="0026129E"/>
    <w:rsid w:val="0026798F"/>
    <w:rsid w:val="00267BBD"/>
    <w:rsid w:val="00381C14"/>
    <w:rsid w:val="003C6A68"/>
    <w:rsid w:val="003D4554"/>
    <w:rsid w:val="003F6ADD"/>
    <w:rsid w:val="00407163"/>
    <w:rsid w:val="00431E58"/>
    <w:rsid w:val="004C237D"/>
    <w:rsid w:val="004F34FC"/>
    <w:rsid w:val="00531CAC"/>
    <w:rsid w:val="00585F2C"/>
    <w:rsid w:val="005F3B61"/>
    <w:rsid w:val="006034A8"/>
    <w:rsid w:val="00632A61"/>
    <w:rsid w:val="0068469D"/>
    <w:rsid w:val="006A595A"/>
    <w:rsid w:val="007A3700"/>
    <w:rsid w:val="007D135E"/>
    <w:rsid w:val="007E43CB"/>
    <w:rsid w:val="00807691"/>
    <w:rsid w:val="00897DBE"/>
    <w:rsid w:val="00914B54"/>
    <w:rsid w:val="0091611D"/>
    <w:rsid w:val="009B6703"/>
    <w:rsid w:val="009C01B9"/>
    <w:rsid w:val="009E1D59"/>
    <w:rsid w:val="00AB1BAF"/>
    <w:rsid w:val="00C26ECE"/>
    <w:rsid w:val="00CA02A3"/>
    <w:rsid w:val="00CC4E5A"/>
    <w:rsid w:val="00D65365"/>
    <w:rsid w:val="00D86857"/>
    <w:rsid w:val="00DE5904"/>
    <w:rsid w:val="00E862EC"/>
    <w:rsid w:val="00EA79E2"/>
    <w:rsid w:val="00F77F49"/>
    <w:rsid w:val="00F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8AE1F-5111-4E2D-97E9-56888A86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6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365"/>
  </w:style>
  <w:style w:type="paragraph" w:styleId="Altbilgi">
    <w:name w:val="footer"/>
    <w:basedOn w:val="Normal"/>
    <w:link w:val="AltbilgiChar"/>
    <w:uiPriority w:val="99"/>
    <w:unhideWhenUsed/>
    <w:rsid w:val="00D6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365"/>
  </w:style>
  <w:style w:type="paragraph" w:styleId="AralkYok">
    <w:name w:val="No Spacing"/>
    <w:uiPriority w:val="1"/>
    <w:qFormat/>
    <w:rsid w:val="002679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Hakan</cp:lastModifiedBy>
  <cp:revision>2</cp:revision>
  <dcterms:created xsi:type="dcterms:W3CDTF">2025-02-21T12:04:00Z</dcterms:created>
  <dcterms:modified xsi:type="dcterms:W3CDTF">2025-02-21T12:04:00Z</dcterms:modified>
</cp:coreProperties>
</file>